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Style w:val="a4"/>
          <w:rFonts w:ascii="Arial" w:hAnsi="Arial" w:cs="Arial"/>
          <w:color w:val="1E1D1E"/>
          <w:sz w:val="23"/>
          <w:szCs w:val="23"/>
        </w:rPr>
        <w:t xml:space="preserve">Информация о состоянии окружающей среды и об использовании природных ресурсов на территории сельского поселения </w:t>
      </w:r>
      <w:proofErr w:type="gramStart"/>
      <w:r w:rsidR="00A7653A">
        <w:rPr>
          <w:rStyle w:val="a4"/>
          <w:rFonts w:ascii="Arial" w:hAnsi="Arial" w:cs="Arial"/>
          <w:color w:val="1E1D1E"/>
          <w:sz w:val="23"/>
          <w:szCs w:val="23"/>
        </w:rPr>
        <w:t>Интернациональное</w:t>
      </w:r>
      <w:proofErr w:type="gramEnd"/>
      <w:r>
        <w:rPr>
          <w:rStyle w:val="a4"/>
          <w:rFonts w:ascii="Arial" w:hAnsi="Arial" w:cs="Arial"/>
          <w:color w:val="1E1D1E"/>
          <w:sz w:val="23"/>
          <w:szCs w:val="23"/>
        </w:rPr>
        <w:t xml:space="preserve"> Терского муниципального района КБР на 01.01.2025</w:t>
      </w:r>
      <w:r w:rsidR="001C5CA3">
        <w:rPr>
          <w:rStyle w:val="a4"/>
          <w:rFonts w:ascii="Arial" w:hAnsi="Arial" w:cs="Arial"/>
          <w:color w:val="1E1D1E"/>
          <w:sz w:val="23"/>
          <w:szCs w:val="23"/>
        </w:rPr>
        <w:t xml:space="preserve"> </w:t>
      </w:r>
      <w:r>
        <w:rPr>
          <w:rStyle w:val="a4"/>
          <w:rFonts w:ascii="Arial" w:hAnsi="Arial" w:cs="Arial"/>
          <w:color w:val="1E1D1E"/>
          <w:sz w:val="23"/>
          <w:szCs w:val="23"/>
        </w:rPr>
        <w:t>г.</w:t>
      </w:r>
    </w:p>
    <w:p w:rsidR="0095235A" w:rsidRDefault="0095235A" w:rsidP="00A7653A">
      <w:pPr>
        <w:pStyle w:val="a3"/>
        <w:shd w:val="clear" w:color="auto" w:fill="FFFFFF"/>
        <w:spacing w:before="0" w:beforeAutospacing="0" w:after="188" w:afterAutospacing="0"/>
        <w:jc w:val="both"/>
        <w:rPr>
          <w:rFonts w:ascii="Arial" w:hAnsi="Arial" w:cs="Arial"/>
          <w:color w:val="1E1D1E"/>
        </w:rPr>
      </w:pPr>
      <w:r>
        <w:rPr>
          <w:rFonts w:ascii="Arial" w:hAnsi="Arial" w:cs="Arial"/>
          <w:color w:val="1E1D1E"/>
        </w:rPr>
        <w:t>Органы местного самоуправления являются субъектами природоохранной деятельности, и согласно ст. 1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  <w:r>
        <w:rPr>
          <w:rFonts w:ascii="Arial" w:hAnsi="Arial" w:cs="Arial"/>
          <w:color w:val="1E1D1E"/>
        </w:rPr>
        <w:br/>
        <w:t xml:space="preserve">В целом экологическая ситуация на территории сельского поселения </w:t>
      </w:r>
      <w:proofErr w:type="gramStart"/>
      <w:r w:rsidR="00A7653A">
        <w:rPr>
          <w:rFonts w:ascii="Arial" w:hAnsi="Arial" w:cs="Arial"/>
          <w:color w:val="1E1D1E"/>
        </w:rPr>
        <w:t>Интернациональное</w:t>
      </w:r>
      <w:proofErr w:type="gramEnd"/>
      <w:r>
        <w:rPr>
          <w:rFonts w:ascii="Arial" w:hAnsi="Arial" w:cs="Arial"/>
          <w:color w:val="1E1D1E"/>
        </w:rPr>
        <w:t xml:space="preserve"> Терского муниципального района КБР благоприятная.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</w:t>
      </w:r>
      <w:r>
        <w:rPr>
          <w:rFonts w:ascii="Arial" w:hAnsi="Arial" w:cs="Arial"/>
          <w:color w:val="1E1D1E"/>
        </w:rPr>
        <w:br/>
        <w:t>Основными источниками загрязнения окружающей среды в поселении являются автотранспорт, твёрдые коммунальные отходы (далее ТКО), отходы от деятельности сельскохозяйственных предприятий.</w:t>
      </w:r>
      <w:r>
        <w:rPr>
          <w:rFonts w:ascii="Arial" w:hAnsi="Arial" w:cs="Arial"/>
          <w:color w:val="1E1D1E"/>
        </w:rPr>
        <w:br/>
        <w:t>Решена проблема сбора и утилизации бытовых отходов. На территории сельского поселения вывоз твердых коммунальных отходов осуществляет региональный оператор.</w:t>
      </w:r>
      <w:r>
        <w:rPr>
          <w:rFonts w:ascii="Arial" w:hAnsi="Arial" w:cs="Arial"/>
          <w:color w:val="1E1D1E"/>
        </w:rPr>
        <w:br/>
        <w:t xml:space="preserve">Утвержден реестр контейнерных площадок на территории сельского поселения </w:t>
      </w:r>
      <w:proofErr w:type="gramStart"/>
      <w:r w:rsidR="00A7653A">
        <w:rPr>
          <w:rFonts w:ascii="Arial" w:hAnsi="Arial" w:cs="Arial"/>
          <w:color w:val="1E1D1E"/>
        </w:rPr>
        <w:t>Интернациональное</w:t>
      </w:r>
      <w:proofErr w:type="gramEnd"/>
      <w:r>
        <w:rPr>
          <w:rFonts w:ascii="Arial" w:hAnsi="Arial" w:cs="Arial"/>
          <w:color w:val="1E1D1E"/>
        </w:rPr>
        <w:t xml:space="preserve"> Терского муниципального района КБР.</w:t>
      </w:r>
      <w:r>
        <w:rPr>
          <w:rFonts w:ascii="Arial" w:hAnsi="Arial" w:cs="Arial"/>
          <w:color w:val="1E1D1E"/>
        </w:rPr>
        <w:br/>
      </w:r>
      <w:proofErr w:type="spellStart"/>
      <w:r>
        <w:rPr>
          <w:rFonts w:ascii="Arial" w:hAnsi="Arial" w:cs="Arial"/>
          <w:color w:val="1E1D1E"/>
        </w:rPr>
        <w:t>Улично</w:t>
      </w:r>
      <w:proofErr w:type="spellEnd"/>
      <w:r>
        <w:rPr>
          <w:rFonts w:ascii="Arial" w:hAnsi="Arial" w:cs="Arial"/>
          <w:color w:val="1E1D1E"/>
        </w:rPr>
        <w:t xml:space="preserve"> – дорожная сеть на территории поселения представлена участками регионального значения и сетью автодорог общего пользования местного значения.</w:t>
      </w:r>
      <w:r>
        <w:rPr>
          <w:rFonts w:ascii="Arial" w:hAnsi="Arial" w:cs="Arial"/>
          <w:color w:val="1E1D1E"/>
        </w:rPr>
        <w:br/>
        <w:t>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автомагистралей.</w:t>
      </w:r>
      <w:r>
        <w:rPr>
          <w:rFonts w:ascii="Arial" w:hAnsi="Arial" w:cs="Arial"/>
          <w:color w:val="1E1D1E"/>
        </w:rPr>
        <w:br/>
        <w:t xml:space="preserve">Действующих объектов специального назначения – скотомогильников и </w:t>
      </w:r>
      <w:proofErr w:type="spellStart"/>
      <w:r>
        <w:rPr>
          <w:rFonts w:ascii="Arial" w:hAnsi="Arial" w:cs="Arial"/>
          <w:color w:val="1E1D1E"/>
        </w:rPr>
        <w:t>биозахоронений</w:t>
      </w:r>
      <w:proofErr w:type="spellEnd"/>
      <w:r>
        <w:rPr>
          <w:rFonts w:ascii="Arial" w:hAnsi="Arial" w:cs="Arial"/>
          <w:color w:val="1E1D1E"/>
        </w:rPr>
        <w:t>, а также полигонов твердых коммунальных отходов на территории сельского поселения не имеется.</w:t>
      </w:r>
      <w:r>
        <w:rPr>
          <w:rFonts w:ascii="Arial" w:hAnsi="Arial" w:cs="Arial"/>
          <w:color w:val="1E1D1E"/>
        </w:rPr>
        <w:br/>
        <w:t xml:space="preserve">На </w:t>
      </w:r>
      <w:r w:rsidR="00A7653A">
        <w:rPr>
          <w:rFonts w:ascii="Arial" w:hAnsi="Arial" w:cs="Arial"/>
          <w:color w:val="1E1D1E"/>
        </w:rPr>
        <w:t>территории сельского поселения 1 водонапорная башня, снабжающая</w:t>
      </w:r>
      <w:r>
        <w:rPr>
          <w:rFonts w:ascii="Arial" w:hAnsi="Arial" w:cs="Arial"/>
          <w:color w:val="1E1D1E"/>
        </w:rPr>
        <w:t xml:space="preserve"> население чистой питьевой водой. Запасов подземных вод достаточно для обеспечения чистой водой жителей всех населенных пунктов сельского поселения.</w:t>
      </w:r>
      <w:r>
        <w:rPr>
          <w:rFonts w:ascii="Arial" w:hAnsi="Arial" w:cs="Arial"/>
          <w:color w:val="1E1D1E"/>
        </w:rPr>
        <w:br/>
        <w:t xml:space="preserve">Для решения проблем по благоустройству территории сельского поселения решением Совета сельского поселения </w:t>
      </w:r>
      <w:proofErr w:type="gramStart"/>
      <w:r w:rsidR="00A7653A">
        <w:rPr>
          <w:rFonts w:ascii="Arial" w:hAnsi="Arial" w:cs="Arial"/>
          <w:color w:val="1E1D1E"/>
        </w:rPr>
        <w:t>Интернациональное</w:t>
      </w:r>
      <w:proofErr w:type="gramEnd"/>
      <w:r>
        <w:rPr>
          <w:rFonts w:ascii="Arial" w:hAnsi="Arial" w:cs="Arial"/>
          <w:color w:val="1E1D1E"/>
        </w:rPr>
        <w:t xml:space="preserve"> Терского муниципального района Кабардино-Балкарской Ре</w:t>
      </w:r>
      <w:r w:rsidR="00A7653A">
        <w:rPr>
          <w:rFonts w:ascii="Arial" w:hAnsi="Arial" w:cs="Arial"/>
          <w:color w:val="1E1D1E"/>
        </w:rPr>
        <w:t xml:space="preserve">спублики от </w:t>
      </w:r>
      <w:r w:rsidR="00A7653A" w:rsidRPr="00A7653A">
        <w:rPr>
          <w:rFonts w:ascii="Arial" w:hAnsi="Arial" w:cs="Arial"/>
          <w:color w:val="1E1D1E"/>
        </w:rPr>
        <w:t>09</w:t>
      </w:r>
      <w:r w:rsidR="00A7653A">
        <w:rPr>
          <w:rFonts w:ascii="Arial" w:hAnsi="Arial" w:cs="Arial"/>
          <w:color w:val="1E1D1E"/>
        </w:rPr>
        <w:t>.0</w:t>
      </w:r>
      <w:r w:rsidR="00A7653A" w:rsidRPr="00A7653A">
        <w:rPr>
          <w:rFonts w:ascii="Arial" w:hAnsi="Arial" w:cs="Arial"/>
          <w:color w:val="1E1D1E"/>
        </w:rPr>
        <w:t>3</w:t>
      </w:r>
      <w:r w:rsidR="00A7653A">
        <w:rPr>
          <w:rFonts w:ascii="Arial" w:hAnsi="Arial" w:cs="Arial"/>
          <w:color w:val="1E1D1E"/>
        </w:rPr>
        <w:t>.2023 г. №</w:t>
      </w:r>
      <w:r w:rsidR="00A7653A" w:rsidRPr="00A7653A">
        <w:rPr>
          <w:rFonts w:ascii="Arial" w:hAnsi="Arial" w:cs="Arial"/>
          <w:color w:val="1E1D1E"/>
        </w:rPr>
        <w:t xml:space="preserve"> 28</w:t>
      </w:r>
      <w:r>
        <w:rPr>
          <w:rFonts w:ascii="Arial" w:hAnsi="Arial" w:cs="Arial"/>
          <w:color w:val="1E1D1E"/>
        </w:rPr>
        <w:t xml:space="preserve"> утверждены Правила благоустройства территории сельского поселения </w:t>
      </w:r>
      <w:r w:rsidR="00A7653A">
        <w:rPr>
          <w:rFonts w:ascii="Arial" w:hAnsi="Arial" w:cs="Arial"/>
          <w:color w:val="1E1D1E"/>
        </w:rPr>
        <w:t>Интернациональное</w:t>
      </w:r>
      <w:r>
        <w:rPr>
          <w:rFonts w:ascii="Arial" w:hAnsi="Arial" w:cs="Arial"/>
          <w:color w:val="1E1D1E"/>
        </w:rPr>
        <w:t xml:space="preserve"> Терского муниципального района Кабардино-Балкарской Республики. Вышеуказанный нормативный правовой акт размещен на сайте сельского поселения.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  <w:r>
        <w:rPr>
          <w:rFonts w:ascii="Arial" w:hAnsi="Arial" w:cs="Arial"/>
          <w:color w:val="1E1D1E"/>
        </w:rPr>
        <w:br/>
        <w:t>Местной администрацией сельского поселения проводятся месячники по уборке территорий поселения весной и осенью. Проводится разъяснительная работа с населением по вопросу обращения с ТКО: о запрете сжигания, нелегального размещения мусора, о негативных экологических последствиях.</w:t>
      </w:r>
      <w:r>
        <w:rPr>
          <w:rFonts w:ascii="Arial" w:hAnsi="Arial" w:cs="Arial"/>
          <w:color w:val="1E1D1E"/>
        </w:rPr>
        <w:br/>
        <w:t xml:space="preserve">Уважаемые жители сельского поселения </w:t>
      </w:r>
      <w:r w:rsidR="00A7653A">
        <w:rPr>
          <w:rFonts w:ascii="Arial" w:hAnsi="Arial" w:cs="Arial"/>
          <w:color w:val="1E1D1E"/>
        </w:rPr>
        <w:t>Интернациональное</w:t>
      </w:r>
      <w:proofErr w:type="gramStart"/>
      <w:r>
        <w:rPr>
          <w:rFonts w:ascii="Arial" w:hAnsi="Arial" w:cs="Arial"/>
          <w:color w:val="1E1D1E"/>
        </w:rPr>
        <w:t xml:space="preserve"> !</w:t>
      </w:r>
      <w:proofErr w:type="gramEnd"/>
      <w:r>
        <w:rPr>
          <w:rFonts w:ascii="Arial" w:hAnsi="Arial" w:cs="Arial"/>
          <w:color w:val="1E1D1E"/>
        </w:rPr>
        <w:br/>
      </w:r>
      <w:r>
        <w:rPr>
          <w:rFonts w:ascii="Arial" w:hAnsi="Arial" w:cs="Arial"/>
          <w:color w:val="1E1D1E"/>
        </w:rPr>
        <w:lastRenderedPageBreak/>
        <w:t>Давайте защитим природу. Чтобы жить долго. Чтобы быть сильными и здоровыми. Любите животных, защищайте их, посадите деревья и цветы, кормите птиц, не загрязняйте окружающую среду!</w:t>
      </w:r>
    </w:p>
    <w:p w:rsidR="0095235A" w:rsidRDefault="0095235A" w:rsidP="0095235A">
      <w:pPr>
        <w:pStyle w:val="a3"/>
        <w:shd w:val="clear" w:color="auto" w:fill="FFFFFF"/>
        <w:spacing w:before="0" w:beforeAutospacing="0" w:after="188" w:afterAutospacing="0"/>
        <w:rPr>
          <w:rFonts w:ascii="Arial" w:hAnsi="Arial" w:cs="Arial"/>
          <w:color w:val="1E1D1E"/>
        </w:rPr>
      </w:pPr>
      <w:r>
        <w:rPr>
          <w:rFonts w:ascii="Arial" w:hAnsi="Arial" w:cs="Arial"/>
          <w:color w:val="1E1D1E"/>
        </w:rPr>
        <w:t> </w:t>
      </w:r>
      <w:r>
        <w:rPr>
          <w:rStyle w:val="a4"/>
          <w:rFonts w:ascii="Arial" w:hAnsi="Arial" w:cs="Arial"/>
          <w:color w:val="1E1D1E"/>
        </w:rPr>
        <w:t>Экологическое просвещение</w:t>
      </w:r>
    </w:p>
    <w:p w:rsidR="0095235A" w:rsidRDefault="0095235A" w:rsidP="00A7653A">
      <w:pPr>
        <w:pStyle w:val="a3"/>
        <w:shd w:val="clear" w:color="auto" w:fill="FFFFFF"/>
        <w:spacing w:before="0" w:beforeAutospacing="0" w:after="188" w:afterAutospacing="0"/>
        <w:jc w:val="both"/>
        <w:rPr>
          <w:rFonts w:ascii="Arial" w:hAnsi="Arial" w:cs="Arial"/>
          <w:color w:val="1E1D1E"/>
        </w:rPr>
      </w:pPr>
      <w:r>
        <w:rPr>
          <w:rFonts w:ascii="Arial" w:hAnsi="Arial" w:cs="Arial"/>
          <w:color w:val="1E1D1E"/>
        </w:rPr>
        <w:t>Экологическое просвещение -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  <w:r>
        <w:rPr>
          <w:rFonts w:ascii="Arial" w:hAnsi="Arial" w:cs="Arial"/>
          <w:color w:val="1E1D1E"/>
        </w:rPr>
        <w:br/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  <w:r>
        <w:rPr>
          <w:rFonts w:ascii="Arial" w:hAnsi="Arial" w:cs="Arial"/>
          <w:color w:val="1E1D1E"/>
        </w:rPr>
        <w:br/>
        <w:t>В статье 42 Конституции РФ закреплено право каждого гражданина «на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правонарушением».</w:t>
      </w:r>
      <w:r>
        <w:rPr>
          <w:rFonts w:ascii="Arial" w:hAnsi="Arial" w:cs="Arial"/>
          <w:color w:val="1E1D1E"/>
        </w:rPr>
        <w:br/>
      </w:r>
      <w:proofErr w:type="gramStart"/>
      <w:r>
        <w:rPr>
          <w:rFonts w:ascii="Arial" w:hAnsi="Arial" w:cs="Arial"/>
          <w:color w:val="1E1D1E"/>
        </w:rPr>
        <w:t>В Федеральном законе от 10 января 2002 года № 7-ФЗ «Об охране окружающей среды» в качестве одного из основных принципов охраны окружающей среды провозглашается соблюдение права каждого на получение достоверной информации о состоянии окружающей среды (ст. 3) и закрепляется право граждан направлять обращения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иные организации и</w:t>
      </w:r>
      <w:proofErr w:type="gramEnd"/>
      <w:r>
        <w:rPr>
          <w:rFonts w:ascii="Arial" w:hAnsi="Arial" w:cs="Arial"/>
          <w:color w:val="1E1D1E"/>
        </w:rPr>
        <w:t xml:space="preserve"> должностным лицам о получении своевременной, полной и достоверной информации о состоянии окружающей среды в местах своего проживания и мерах по ее охране (ст. 11).</w:t>
      </w:r>
      <w:r>
        <w:rPr>
          <w:rFonts w:ascii="Arial" w:hAnsi="Arial" w:cs="Arial"/>
          <w:color w:val="1E1D1E"/>
        </w:rPr>
        <w:br/>
      </w:r>
      <w:proofErr w:type="gramStart"/>
      <w:r>
        <w:rPr>
          <w:rFonts w:ascii="Arial" w:hAnsi="Arial" w:cs="Arial"/>
          <w:color w:val="1E1D1E"/>
        </w:rPr>
        <w:t>В статье 7 Закона РФ от 21 июля 1993 г. № 5485-1 «О государственной тайне» записано, что не могут быть отнесены к государственной тайне и засекречены сведения: о чрезвычайных происшествиях и катастрофах, угрожающих безопасности и здоровью граждан, и их последствиях, а также о стихийных бедствиях, их официальных прогнозах и последствиях; о состоянии экологии, здравоохранения, санитарии.</w:t>
      </w:r>
      <w:proofErr w:type="gramEnd"/>
      <w:r>
        <w:rPr>
          <w:rFonts w:ascii="Arial" w:hAnsi="Arial" w:cs="Arial"/>
          <w:color w:val="1E1D1E"/>
        </w:rPr>
        <w:br/>
      </w:r>
      <w:proofErr w:type="gramStart"/>
      <w:r>
        <w:rPr>
          <w:rFonts w:ascii="Arial" w:hAnsi="Arial" w:cs="Arial"/>
          <w:color w:val="1E1D1E"/>
        </w:rPr>
        <w:t>Даже самые умные и правильные законы не смогут кардинально изменить экологическую ситуацию, если большинство из нас по- прежнему будут считать себя лишь наблюдателями окружающего мира.</w:t>
      </w:r>
      <w:proofErr w:type="gramEnd"/>
      <w:r>
        <w:rPr>
          <w:rFonts w:ascii="Arial" w:hAnsi="Arial" w:cs="Arial"/>
          <w:color w:val="1E1D1E"/>
        </w:rPr>
        <w:t xml:space="preserve"> Экология должна стать образом жизни. Тогда мы сможем оставить нашим потомкам нечто большее, чем техногенную пустыню.</w:t>
      </w:r>
      <w:r>
        <w:rPr>
          <w:rFonts w:ascii="Arial" w:hAnsi="Arial" w:cs="Arial"/>
          <w:color w:val="1E1D1E"/>
        </w:rPr>
        <w:br/>
        <w:t>Экология выходит в современном мире на первый план, поскольку касается всех и каждого. Не секрет, что результатом бездумного отношения человека к окружающей среде стали необратимые нарушения экологической обстановки во всем мире. Катастрофическое исчезновение растений и животных, нарушение водного и воздушного баланса на планете - это результат не только роста объема выбросов вредных производств, загрязнения поверхностных вод и т.д., но и полного отсутствия элементарных знаний природных процессов. Обретение экологического мировоззрения, воспитания не может происходить на абстрактном уровне и даётся человеку через личный опыт и практическую деятельность.</w:t>
      </w:r>
      <w:r>
        <w:rPr>
          <w:rFonts w:ascii="Arial" w:hAnsi="Arial" w:cs="Arial"/>
          <w:color w:val="1E1D1E"/>
        </w:rPr>
        <w:br/>
        <w:t>Органы местного самоуправления являются субъектами природоохранной деятельности, и согласно ст. 1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</w:p>
    <w:p w:rsidR="0095235A" w:rsidRDefault="0095235A" w:rsidP="0095235A">
      <w:pPr>
        <w:pStyle w:val="a3"/>
        <w:shd w:val="clear" w:color="auto" w:fill="FFFFFF"/>
        <w:spacing w:before="0" w:beforeAutospacing="0" w:after="188" w:afterAutospacing="0"/>
        <w:rPr>
          <w:rFonts w:ascii="Arial" w:hAnsi="Arial" w:cs="Arial"/>
          <w:color w:val="1E1D1E"/>
        </w:rPr>
      </w:pPr>
      <w:r>
        <w:rPr>
          <w:rFonts w:ascii="Arial" w:hAnsi="Arial" w:cs="Arial"/>
          <w:color w:val="1E1D1E"/>
        </w:rPr>
        <w:lastRenderedPageBreak/>
        <w:t>В рамках улучшения санитарного состояния территории сельского поселения организованы и проводятся мероприятии по очистке подведомственных территорий.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Style w:val="a4"/>
          <w:rFonts w:ascii="Arial" w:hAnsi="Arial" w:cs="Arial"/>
          <w:color w:val="1E1D1E"/>
          <w:sz w:val="23"/>
          <w:szCs w:val="23"/>
        </w:rPr>
        <w:t>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Об обращении с отходами производства и потребления</w:t>
      </w:r>
    </w:p>
    <w:p w:rsidR="003862ED" w:rsidRDefault="003862ED" w:rsidP="00A7653A">
      <w:pPr>
        <w:pStyle w:val="a3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В соответствии с Федеральным законом от 24.06.1998 года № 89-ФЗ «Об отходах производства и потребления» на территории Кабардино-Балкарской Республики введена новая система обращения с твердыми коммунальными отходами (ТКО), при которой обращение с ТКО осуществляется по договорам с региональным оператором.</w:t>
      </w:r>
      <w:r>
        <w:rPr>
          <w:rFonts w:ascii="Arial" w:hAnsi="Arial" w:cs="Arial"/>
          <w:color w:val="1E1D1E"/>
          <w:sz w:val="23"/>
          <w:szCs w:val="23"/>
        </w:rPr>
        <w:br/>
        <w:t xml:space="preserve">На основании конкурсного отбора и 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в соответствии с Соглашениями об организации деятельности по обращению с твердыми коммунальными отходами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на территории Кабардино-Балкарской Республики от 28.04.2018 года статус регионального оператора по обращению с твердыми коммунальными отходами присвоен Обществу с ограниченной ответственностью «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Экологистика</w:t>
      </w:r>
      <w:proofErr w:type="spellEnd"/>
      <w:r>
        <w:rPr>
          <w:rFonts w:ascii="Arial" w:hAnsi="Arial" w:cs="Arial"/>
          <w:color w:val="1E1D1E"/>
          <w:sz w:val="23"/>
          <w:szCs w:val="23"/>
        </w:rPr>
        <w:t>».</w:t>
      </w:r>
      <w:r>
        <w:rPr>
          <w:rFonts w:ascii="Arial" w:hAnsi="Arial" w:cs="Arial"/>
          <w:color w:val="1E1D1E"/>
          <w:sz w:val="23"/>
          <w:szCs w:val="23"/>
        </w:rPr>
        <w:br/>
      </w:r>
      <w:proofErr w:type="gramStart"/>
      <w:r>
        <w:rPr>
          <w:rFonts w:ascii="Arial" w:hAnsi="Arial" w:cs="Arial"/>
          <w:color w:val="1E1D1E"/>
          <w:sz w:val="23"/>
          <w:szCs w:val="23"/>
        </w:rPr>
        <w:t xml:space="preserve">Переход на новую систему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тарифообразования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в сфере обращения с ТКО Федеральный закон от 29.12.2014 № 458-ФЗ «О внесении изменений в Федеральный закон "Об отходах производства и потребления",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 (в ред. от 28.12.2016) определил новую систему регулирования деятельности в области обращения с твердыми коммунальными отходами.</w:t>
      </w:r>
      <w:proofErr w:type="gramEnd"/>
      <w:r>
        <w:rPr>
          <w:rFonts w:ascii="Arial" w:hAnsi="Arial" w:cs="Arial"/>
          <w:color w:val="1E1D1E"/>
          <w:sz w:val="23"/>
          <w:szCs w:val="23"/>
        </w:rPr>
        <w:br/>
      </w:r>
      <w:proofErr w:type="gramStart"/>
      <w:r>
        <w:rPr>
          <w:rFonts w:ascii="Arial" w:hAnsi="Arial" w:cs="Arial"/>
          <w:color w:val="1E1D1E"/>
          <w:sz w:val="23"/>
          <w:szCs w:val="23"/>
        </w:rPr>
        <w:t>Согласно статье 14 Федерального закона «Об общих принципах организации местного самоуправления в Российской Федерации» от 06.10.2003 г. N 131-ФЗ и статье 8 Федерального закона "Об отходах производства и потребления" от 24.06.1998 г. N 89-ФЗ организация деятельности по сбору (в том числе раздельному сбору) твердых коммунальных отходов на территориях соответствующих поселений относится к полномочиям органов местного самоуправления муниципальных районов, городских поселений</w:t>
      </w:r>
      <w:proofErr w:type="gramEnd"/>
      <w:r>
        <w:rPr>
          <w:rFonts w:ascii="Arial" w:hAnsi="Arial" w:cs="Arial"/>
          <w:color w:val="1E1D1E"/>
          <w:sz w:val="23"/>
          <w:szCs w:val="23"/>
        </w:rPr>
        <w:t>, городских округов.</w:t>
      </w:r>
      <w:r>
        <w:rPr>
          <w:rFonts w:ascii="Arial" w:hAnsi="Arial" w:cs="Arial"/>
          <w:color w:val="1E1D1E"/>
          <w:sz w:val="23"/>
          <w:szCs w:val="23"/>
        </w:rPr>
        <w:br/>
      </w:r>
      <w:proofErr w:type="gramStart"/>
      <w:r>
        <w:rPr>
          <w:rFonts w:ascii="Arial" w:hAnsi="Arial" w:cs="Arial"/>
          <w:color w:val="1E1D1E"/>
          <w:sz w:val="23"/>
          <w:szCs w:val="23"/>
        </w:rPr>
        <w:t>Бремя содержания контейнерных площадок, специальных площадок для складирования крупногабаритных отходов и территории, прилегающей к месту погрузки твердых коммунальных отходов, не входящих в состав общего имущества собственников помещений в многоквартирных домах, несут собственники земельного участка, на котором расположены такие площадки и территория (п. 13 Постановления Правительства РФ от 12 ноября 2016 г. № 1156 “Об обращении с твердыми коммунальными отходами и внесении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изменения в постановление Правительства Российской Федерации от 25 августа 2008 г. № 641”). </w:t>
      </w:r>
      <w:r>
        <w:rPr>
          <w:rFonts w:ascii="Arial" w:hAnsi="Arial" w:cs="Arial"/>
          <w:color w:val="1E1D1E"/>
          <w:sz w:val="23"/>
          <w:szCs w:val="23"/>
        </w:rPr>
        <w:br/>
        <w:t>Таким образом, обязанность по организации мест накопления мусора (контейнерных площадок, специальных площадок для складирования крупногабаритных отходов) возложена на органы местного самоуправления района.</w:t>
      </w:r>
      <w:r>
        <w:rPr>
          <w:rFonts w:ascii="Arial" w:hAnsi="Arial" w:cs="Arial"/>
          <w:color w:val="1E1D1E"/>
          <w:sz w:val="23"/>
          <w:szCs w:val="23"/>
        </w:rPr>
        <w:br/>
        <w:t>Места накопления мусора должны быть организованы в соответствии с Санитарными правилами и нормами СанПиН 42-128-4690-88 "Санитарные правила содержания территорий населенных мест" (утв. Минздравом СССР 5 августа 1988 г. N 4690-88).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 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Информация по вопросам обращения с отходами производства и потребления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Уважаемые жители!</w:t>
      </w:r>
    </w:p>
    <w:p w:rsidR="003862ED" w:rsidRDefault="003862ED" w:rsidP="00A7653A">
      <w:pPr>
        <w:pStyle w:val="a3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1E1D1E"/>
          <w:sz w:val="23"/>
          <w:szCs w:val="23"/>
        </w:rPr>
      </w:pPr>
      <w:proofErr w:type="gramStart"/>
      <w:r>
        <w:rPr>
          <w:rFonts w:ascii="Arial" w:hAnsi="Arial" w:cs="Arial"/>
          <w:color w:val="1E1D1E"/>
          <w:sz w:val="23"/>
          <w:szCs w:val="23"/>
        </w:rPr>
        <w:t xml:space="preserve">В соответствии со статьей 1 Федерального закона от 24 июня 1998 г. № 89-ФЗ «Об отходах производства и потребления» определено, что «Твердые коммунальные отходы (ТКО) – это отходы, образующиеся в жилых помещениях в процессе потребления физическими лицами, а также товары, утратившие свои </w:t>
      </w:r>
      <w:r>
        <w:rPr>
          <w:rFonts w:ascii="Arial" w:hAnsi="Arial" w:cs="Arial"/>
          <w:color w:val="1E1D1E"/>
          <w:sz w:val="23"/>
          <w:szCs w:val="23"/>
        </w:rPr>
        <w:lastRenderedPageBreak/>
        <w:t>потребительские свойства в процессе их использования физическими лицами в жилых помещениях в целях удовлетворения личных и бытовых нужд».</w:t>
      </w:r>
      <w:proofErr w:type="gramEnd"/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Таким образом, ТКО – это повседневный бытовой мусор, который необходимо складировать в специализированные контейнеры, установленные на площадках накопления отходов, либо используемые для индивидуального накопления.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 xml:space="preserve">Правила обращения с ТКО утверждены постановлением Правительства Российской Федерации от 12 ноября 2016 г. №1156, согласно данных 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правил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потребители осуществляют складирование твердых коммунальных отходов в местах (площадках) накопления твердых коммунальных отходов в контейнеры, расположенные в мусороприемных камерах или на контейнерных площадках.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Помимо ТКО на площадках накопления отходов возможно складирование крупногабаритных отходов (КГО), которые должны складироваться в отдельные бункеры, либо на площадке, исключая смешивание с иными ТКО.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Установлено, что «КГО — это ТКО (мебель, бытовая техника, отходы от текущего ремонта жилых помещений и др.), размер которых не позволяет осуществить их складирование в контейнерах».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И ТКО, и КГО подлежат вывозу региональным оператором в рамках установленного единого тарифа на услугу по обращению с ТКО. При этом стоит напомнить, что строительные отходы, образованные при капитальном ремонте жилых помещений (арматура, бетон, кирпичи и т.п.) в тариф не включены и не входят в зону ответственности регионального оператора. Для вывоза строительных отходов собственник обязан заключать отдельный договор с региональным оператором.</w:t>
      </w:r>
    </w:p>
    <w:p w:rsidR="003862ED" w:rsidRDefault="003862ED" w:rsidP="00A7653A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Также вывозу региональным оператором подлежит и зола, образуемая в индивидуальных жилых домах, оборудованных печным отоплением, высыпать ее возле индивидуальных жилых домов, на проезжую часть дороги, тротуары запрещено. При этом согласно п.81 Правил противопожарного режима в РФ, утвержденных постановлением Правительства Российской Федерации от 16 сентября 2020 г. №1479, установлено, что зола и шлак, выгребаемые из топок, должны быть залиты водой и удалены в специально отведенное для них место. Запрещается складировать горящие, раскаленные или горячие отходы, которые могут причинить вред жизни и здоровью лиц, осуществляющих погрузку золы, повредить мусоровозы или нарушить режим работы объектов размещения отходов.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Порядок организации сбора и накопления отработанных ртутьсодержащих ламп у потребителей</w:t>
      </w:r>
    </w:p>
    <w:p w:rsidR="001C5CA3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b/>
          <w:bCs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Чем опасна ртуть и ртутьсодержащие лампы?</w:t>
      </w:r>
      <w:r>
        <w:rPr>
          <w:rFonts w:ascii="Arial" w:hAnsi="Arial" w:cs="Arial"/>
          <w:color w:val="1E1D1E"/>
          <w:sz w:val="23"/>
          <w:szCs w:val="23"/>
        </w:rPr>
        <w:br/>
        <w:t>Ртуть и ртутьсодержащие источники света активно используются в быту населением и на предприятиях. В сравнении с лампами накаливания их коэффициент полезного действия значительно выше, а спектр излучения – естественнее. Применение ртутных ламп требует их надлежащего хранения, подключения и утилизации. Неосторожное обращение с такими изделиями может составлять серьёзную угрозу для окружающей среды в целом, здоровья человека и животных в частности.</w:t>
      </w:r>
      <w:r>
        <w:rPr>
          <w:rFonts w:ascii="Arial" w:hAnsi="Arial" w:cs="Arial"/>
          <w:color w:val="1E1D1E"/>
          <w:sz w:val="23"/>
          <w:szCs w:val="23"/>
        </w:rPr>
        <w:br/>
        <w:t>Ртутные лампы содержат 3-5 мг ртути каждая, поэтому отнесены к отходам 1 класса опасности, наиболее высокой категории опасности. Внутри изделия токсичное вещество находится в виде паров, поэтому способно моментально проникать в человеческий организм. В случае повреждения одна ртутная лампа загрязняет 6 мᶾ воздуха. При этом 80% испарений задерживается в организме человека.</w:t>
      </w:r>
      <w:r>
        <w:rPr>
          <w:rFonts w:ascii="Arial" w:hAnsi="Arial" w:cs="Arial"/>
          <w:color w:val="1E1D1E"/>
          <w:sz w:val="23"/>
          <w:szCs w:val="23"/>
        </w:rPr>
        <w:br/>
        <w:t>Особую опасность могут нести загрязненные ртутью почва, водные объекты, которые в течение десятков лет могут быть источником выделения паров ртути.</w:t>
      </w:r>
      <w:r>
        <w:rPr>
          <w:rFonts w:ascii="Arial" w:hAnsi="Arial" w:cs="Arial"/>
          <w:color w:val="1E1D1E"/>
          <w:sz w:val="23"/>
          <w:szCs w:val="23"/>
        </w:rPr>
        <w:br/>
        <w:t xml:space="preserve">Сильнее всего к ртутным отравлениям чувствительны женщины и дети. К числу </w:t>
      </w:r>
      <w:r>
        <w:rPr>
          <w:rFonts w:ascii="Arial" w:hAnsi="Arial" w:cs="Arial"/>
          <w:color w:val="1E1D1E"/>
          <w:sz w:val="23"/>
          <w:szCs w:val="23"/>
        </w:rPr>
        <w:lastRenderedPageBreak/>
        <w:t xml:space="preserve">органов, на которые ртуть негативно воздействует, относятся центральная нервная система, почки и печень, лёгкие, 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сердечно-сосудистый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аппарат, мышцы. Отравление ртутью становится причиной врождённых уро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дств пл</w:t>
      </w:r>
      <w:proofErr w:type="gramEnd"/>
      <w:r>
        <w:rPr>
          <w:rFonts w:ascii="Arial" w:hAnsi="Arial" w:cs="Arial"/>
          <w:color w:val="1E1D1E"/>
          <w:sz w:val="23"/>
          <w:szCs w:val="23"/>
        </w:rPr>
        <w:t>ода.</w:t>
      </w:r>
      <w:r>
        <w:rPr>
          <w:rFonts w:ascii="Arial" w:hAnsi="Arial" w:cs="Arial"/>
          <w:color w:val="1E1D1E"/>
          <w:sz w:val="23"/>
          <w:szCs w:val="23"/>
        </w:rPr>
        <w:br/>
      </w:r>
    </w:p>
    <w:p w:rsidR="001C5CA3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b/>
          <w:bCs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Что включает в себя понятие «отработанные ртутьсодержащие лампы»?</w:t>
      </w:r>
      <w:r>
        <w:rPr>
          <w:rFonts w:ascii="Arial" w:hAnsi="Arial" w:cs="Arial"/>
          <w:color w:val="1E1D1E"/>
          <w:sz w:val="23"/>
          <w:szCs w:val="23"/>
        </w:rPr>
        <w:br/>
        <w:t>Постановлением Правительства Российской Федерации от 28.12.2020 № 2314 утверждены «Правила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 (далее – Правила).</w:t>
      </w:r>
      <w:r>
        <w:rPr>
          <w:rFonts w:ascii="Arial" w:hAnsi="Arial" w:cs="Arial"/>
          <w:color w:val="1E1D1E"/>
          <w:sz w:val="23"/>
          <w:szCs w:val="23"/>
        </w:rPr>
        <w:br/>
      </w:r>
      <w:proofErr w:type="gramStart"/>
      <w:r>
        <w:rPr>
          <w:rFonts w:ascii="Arial" w:hAnsi="Arial" w:cs="Arial"/>
          <w:color w:val="1E1D1E"/>
          <w:sz w:val="23"/>
          <w:szCs w:val="23"/>
        </w:rPr>
        <w:t xml:space="preserve">Согласно этим Правилам «отработанные ртутьсодержащие лампы» - ртутьсодержащие отходы, представляющие собой отходы от использования товаров с ртутным заполнением и содержанием ртути не менее 0,01 процента, утративших свои потребительские свойства (люминесцентные лампы с холодным катодом, люминесцентные лампы с внешним электродом, лампы люминесцентные малогабаритные, лампы люминесцентные трубчатые, лампы общего освещения ртутные высокого давления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паросветные</w:t>
      </w:r>
      <w:proofErr w:type="spellEnd"/>
      <w:r>
        <w:rPr>
          <w:rFonts w:ascii="Arial" w:hAnsi="Arial" w:cs="Arial"/>
          <w:color w:val="1E1D1E"/>
          <w:sz w:val="23"/>
          <w:szCs w:val="23"/>
        </w:rPr>
        <w:t>).</w:t>
      </w:r>
      <w:proofErr w:type="gramEnd"/>
      <w:r>
        <w:rPr>
          <w:rFonts w:ascii="Arial" w:hAnsi="Arial" w:cs="Arial"/>
          <w:color w:val="1E1D1E"/>
          <w:sz w:val="23"/>
          <w:szCs w:val="23"/>
        </w:rPr>
        <w:br/>
        <w:t>В соответствии с Федеральным классификационным каталогом отходов, утвержденным приказом Федеральной службы по надзору в сфере природопользования от 22.05.2017 № 242, отходы электрического оборудования, содержащего ртуть - Лампы ртутные, ртутно-кварцевые, люминесцентные, утратившие потребительские свойства, - имеют 1 класс опасности и относятся к чрезвычайно опасным отходам.</w:t>
      </w:r>
      <w:r>
        <w:rPr>
          <w:rFonts w:ascii="Arial" w:hAnsi="Arial" w:cs="Arial"/>
          <w:color w:val="1E1D1E"/>
          <w:sz w:val="23"/>
          <w:szCs w:val="23"/>
        </w:rPr>
        <w:br/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Каким образом производится накопление отработанных ртутьсодержащих ламп?</w:t>
      </w:r>
      <w:r>
        <w:rPr>
          <w:rFonts w:ascii="Arial" w:hAnsi="Arial" w:cs="Arial"/>
          <w:color w:val="1E1D1E"/>
          <w:sz w:val="23"/>
          <w:szCs w:val="23"/>
        </w:rPr>
        <w:br/>
        <w:t>Накопление неповрежденных отработанных ртутьсодержащих ламп производится в соответствии с требованиями безопасности, предусмотренными производителем ртутьсодержащих ламп, указанных в правилах эксплуатации таких товаров. Накопление неповрежденных отработанных ртутьсодержащих ламп производится в индивидуальной и транспортной упаковках, обеспечивающих сохранность отработанных ртутьсодержащих ламп.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ламп.</w:t>
      </w:r>
      <w:r>
        <w:rPr>
          <w:rFonts w:ascii="Arial" w:hAnsi="Arial" w:cs="Arial"/>
          <w:color w:val="1E1D1E"/>
          <w:sz w:val="23"/>
          <w:szCs w:val="23"/>
        </w:rPr>
        <w:br/>
        <w:t>Накопление поврежденных отработанных ртутьсодержащих ламп производится в герметичной транспортной упаковке, исключающей загрязнение окружающей среды и причинение вреда жизни и здоровью человека.</w:t>
      </w:r>
      <w:r>
        <w:rPr>
          <w:rFonts w:ascii="Arial" w:hAnsi="Arial" w:cs="Arial"/>
          <w:color w:val="1E1D1E"/>
          <w:sz w:val="23"/>
          <w:szCs w:val="23"/>
        </w:rPr>
        <w:br/>
        <w:t>Накопление отработанных ртутьсодержащих ламп производится отдельно от других видов отходов. Не допускается совместное накопление поврежденных и неповрежденных ртутьсодержащих ламп.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 </w:t>
      </w:r>
      <w:bookmarkStart w:id="0" w:name="_GoBack"/>
      <w:bookmarkEnd w:id="0"/>
      <w:r>
        <w:rPr>
          <w:rFonts w:ascii="Arial" w:hAnsi="Arial" w:cs="Arial"/>
          <w:b/>
          <w:bCs/>
          <w:color w:val="1E1D1E"/>
          <w:sz w:val="23"/>
          <w:szCs w:val="23"/>
        </w:rPr>
        <w:t>Формирование экологической культуры в сфере обращения с ТКО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Обращение с твердыми коммунальными отходами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При складировании отходов исходите из того, что можно, а что нельзя выносить на площадку накопления отходов: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1. </w:t>
      </w:r>
      <w:r>
        <w:rPr>
          <w:rFonts w:ascii="Arial" w:hAnsi="Arial" w:cs="Arial"/>
          <w:b/>
          <w:bCs/>
          <w:color w:val="1E1D1E"/>
          <w:sz w:val="23"/>
          <w:szCs w:val="23"/>
        </w:rPr>
        <w:t>Что МОЖНО выбрасывать в контейнеры для ТКО</w:t>
      </w:r>
      <w:r>
        <w:rPr>
          <w:rFonts w:ascii="Arial" w:hAnsi="Arial" w:cs="Arial"/>
          <w:color w:val="1E1D1E"/>
          <w:sz w:val="23"/>
          <w:szCs w:val="23"/>
        </w:rPr>
        <w:t>: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Отходы, которые образуются в жилых помещениях и у юридических лиц в процессе потребления физическими лицами, например: бумажные, пластиковые, стеклянные, металлические и другие материалы; пищевые отходы, которые образуются при приготовлении пищи; старую одежду и обувь.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lastRenderedPageBreak/>
        <w:t>Крупногабаритные отходы (КГО) – мебель, бытовая техника, отходы от текущего ремонта жилых помещений и др., размер которых не позволяет осуществить их складирование в контейнерах.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КГО вывозят спецтранспортом по отдельному графику, а размещать их нужно в специальном контейнере или на площадке для КГО, либо просто рядом с контейнерной площадкой.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2.      </w:t>
      </w:r>
      <w:r>
        <w:rPr>
          <w:rFonts w:ascii="Arial" w:hAnsi="Arial" w:cs="Arial"/>
          <w:b/>
          <w:bCs/>
          <w:color w:val="1E1D1E"/>
          <w:sz w:val="23"/>
          <w:szCs w:val="23"/>
        </w:rPr>
        <w:t>Что НЕЛЬЗЯ выбрасывать в контейнеры для ТКО: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Строительный мусор — битый кирпич, отходы бетона, отходы от сноса стен, разборки крыш, опор и оснований, железобетона.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Спилы деревьев, ветки и листву.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proofErr w:type="gramStart"/>
      <w:r>
        <w:rPr>
          <w:rFonts w:ascii="Arial" w:hAnsi="Arial" w:cs="Arial"/>
          <w:color w:val="1E1D1E"/>
          <w:sz w:val="23"/>
          <w:szCs w:val="23"/>
        </w:rPr>
        <w:t>Отходы I — III классов опасности (автопокрышки, ртутные термометры, аккумуляторы, масла, щелочи, кислоты, гальванические элементы, остатки рафинирования нефтесодержащих отходов, свинцовые опилки, кислые смолы, дизтопливо, навоз, помет и другие органические вещества, образующиеся в результате содержания сельскохозяйственных животных).</w:t>
      </w:r>
      <w:proofErr w:type="gramEnd"/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Зола, образуемая физическими лицами в результате эксплуатации печек и котельного оборудования.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 xml:space="preserve">За нарушение правил обращения с отходами, создание несанкционированных свалок, в том числе в местах накопления отходов гражданам грозит штраф до 5 </w:t>
      </w:r>
      <w:proofErr w:type="spellStart"/>
      <w:proofErr w:type="gramStart"/>
      <w:r>
        <w:rPr>
          <w:rFonts w:ascii="Arial" w:hAnsi="Arial" w:cs="Arial"/>
          <w:color w:val="1E1D1E"/>
          <w:sz w:val="23"/>
          <w:szCs w:val="23"/>
        </w:rPr>
        <w:t>тыс</w:t>
      </w:r>
      <w:proofErr w:type="spellEnd"/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рублей, юридическим лицам до 400 тыс. руб.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 xml:space="preserve">Соблюдайте правила обращения с 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отходами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и территория нашего района будет чище!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Style w:val="a4"/>
          <w:rFonts w:ascii="Arial" w:hAnsi="Arial" w:cs="Arial"/>
          <w:color w:val="1E1D1E"/>
          <w:sz w:val="23"/>
          <w:szCs w:val="23"/>
        </w:rPr>
        <w:t>В</w:t>
      </w:r>
      <w:r>
        <w:rPr>
          <w:rFonts w:ascii="Arial" w:hAnsi="Arial" w:cs="Arial"/>
          <w:color w:val="1E1D1E"/>
          <w:sz w:val="23"/>
          <w:szCs w:val="23"/>
        </w:rPr>
        <w:t> </w:t>
      </w:r>
      <w:r>
        <w:rPr>
          <w:rFonts w:ascii="Arial" w:hAnsi="Arial" w:cs="Arial"/>
          <w:b/>
          <w:bCs/>
          <w:color w:val="1E1D1E"/>
          <w:sz w:val="23"/>
          <w:szCs w:val="23"/>
        </w:rPr>
        <w:t>Конституции Российской Федерации</w:t>
      </w:r>
      <w:r>
        <w:rPr>
          <w:rFonts w:ascii="Arial" w:hAnsi="Arial" w:cs="Arial"/>
          <w:color w:val="1E1D1E"/>
          <w:sz w:val="23"/>
          <w:szCs w:val="23"/>
        </w:rPr>
        <w:t> отражены основные положения экологической стратегии государства и главные направления укрепления экологического правопорядка.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Конституция РФ вводит в научный оборот определение экологической деятельности человека в сфере взаимодействия общества и природы: природопользование, охрана окружающей среды, обеспечение экологической безопасности.</w:t>
      </w:r>
      <w:r>
        <w:rPr>
          <w:rFonts w:ascii="Arial" w:hAnsi="Arial" w:cs="Arial"/>
          <w:color w:val="1E1D1E"/>
          <w:sz w:val="23"/>
          <w:szCs w:val="23"/>
        </w:rPr>
        <w:br/>
        <w:t>Центральное место среди экологических норм Конституции РФ занимает ч. 1 ст. 9, где указывается, что земля и другие природные ресурсы в Российской Федерации используются и охраняются как основа жизни и деятельности народов, проживающих на соответствующей территории.</w:t>
      </w:r>
      <w:r>
        <w:rPr>
          <w:rFonts w:ascii="Arial" w:hAnsi="Arial" w:cs="Arial"/>
          <w:color w:val="1E1D1E"/>
          <w:sz w:val="23"/>
          <w:szCs w:val="23"/>
        </w:rPr>
        <w:br/>
      </w:r>
      <w:proofErr w:type="gramStart"/>
      <w:r>
        <w:rPr>
          <w:rFonts w:ascii="Arial" w:hAnsi="Arial" w:cs="Arial"/>
          <w:color w:val="1E1D1E"/>
          <w:sz w:val="23"/>
          <w:szCs w:val="23"/>
        </w:rPr>
        <w:t>В Конституции РФ есть две очень важные нормы, одна из которых (ст. 42) закрепляет право каждого человека на благоприятную окружающую среду, достоверную информацию о ее состоянии и на возмещение ущерба, причиненного его здоровью или имуществу, а другая провозглашает право граждан и юридических лиц на частную собственность на землю и другие природные ресурсы (ч. 2 ст. 9).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Первая касается биологических начал человека, вторая - его материальных основ существования.</w:t>
      </w:r>
      <w:r>
        <w:rPr>
          <w:rFonts w:ascii="Arial" w:hAnsi="Arial" w:cs="Arial"/>
          <w:color w:val="1E1D1E"/>
          <w:sz w:val="23"/>
          <w:szCs w:val="23"/>
        </w:rPr>
        <w:br/>
        <w:t>Конституция РФ также оформляет организационно-правовые взаимоотношения Федерации и субъектов Федерации. Согласно ст. 72 пользование, владение и распоряжение землей, недрами, водными и другими природными ресурсами, природопользование, охрана окружающей среды и обеспечение экологической безопасности являются совместной компетенцией Федерации и субъектов Федерации.</w:t>
      </w:r>
      <w:r>
        <w:rPr>
          <w:rFonts w:ascii="Arial" w:hAnsi="Arial" w:cs="Arial"/>
          <w:color w:val="1E1D1E"/>
          <w:sz w:val="23"/>
          <w:szCs w:val="23"/>
        </w:rPr>
        <w:br/>
        <w:t xml:space="preserve">По предмету своего ведения Российская Федерация принимает федеральные законы, которые являются обязательными на территории всей страны. Субъекты Федерации имеют право на собственное регулирование экологических отношений, включая </w:t>
      </w:r>
      <w:r>
        <w:rPr>
          <w:rFonts w:ascii="Arial" w:hAnsi="Arial" w:cs="Arial"/>
          <w:color w:val="1E1D1E"/>
          <w:sz w:val="23"/>
          <w:szCs w:val="23"/>
        </w:rPr>
        <w:lastRenderedPageBreak/>
        <w:t>принятие законов и иных нормативных актов. Конституция РФ закрепляет общее правило: законы и иные правовые акты субъектов Федерации не должны противоречить федеральным законам. Положение Конституции РФ конкретизируется в источниках экологического права.</w:t>
      </w:r>
      <w:r>
        <w:rPr>
          <w:rFonts w:ascii="Arial" w:hAnsi="Arial" w:cs="Arial"/>
          <w:color w:val="1E1D1E"/>
          <w:sz w:val="23"/>
          <w:szCs w:val="23"/>
        </w:rPr>
        <w:br/>
      </w:r>
      <w:proofErr w:type="gramStart"/>
      <w:r>
        <w:rPr>
          <w:rFonts w:ascii="Arial" w:hAnsi="Arial" w:cs="Arial"/>
          <w:color w:val="1E1D1E"/>
          <w:sz w:val="23"/>
          <w:szCs w:val="23"/>
        </w:rPr>
        <w:t>Федеральный закон «Об охране окружающей среды» определяет 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нынешних и будущих поколений, укрепления правопорядка в области охраны окружающей среды и обеспечения экологической безопасности.</w:t>
      </w:r>
      <w:proofErr w:type="gramEnd"/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В Законе закрепляются следующие правовые положения: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основы управления в области охраны окружающей среды;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права и обязанности граждан, общественных и иных некоммерческих объединений в области охраны окружающей среды;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экономическое регулирование в области охраны окружающей среды;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нормирование в области охраны окружающей среды;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оценка воздействия на окружающую среду и экологическая экспертиза;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требования в области охраны окружающей среды при осуществлении хозяйственной деятельности;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зоны экологического бедствия, зоны чрезвычайных ситуаций;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государственный мониторинг окружающей среды (государственный экологический мониторинг);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контроль в области охраны окружающей среды (экологический контроль);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научные исследования в области охраны окружающей среды;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основы формирования экологической культуры;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·         международное сотрудничество в области охраны окружающей среды.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Охрана здоровья и обеспечение благополучия человека - конечная цель охраны окружающей природной среды. Поэтому в законодательных актах, направленных на охрану здоровья граждан, экологические требования занимают ведущее место. В этом смысле источником экологического права служит Федеральный закон от 30 марта 1999 г. № 52-ФЗ «О санитарно-эпидемиологическом благополучии населения». Он регулирует санитарные отношения, связанные с охраной здоровья от неблагоприятного воздействия внешней среды - производственной, бытовой, природной. Экологические требования, выраженные в статьях Закона, одновременно являются и источниками экологического права. Например, на охрану здоровья и окружающей природной среды направлены нормы Закона о захоронении, переработке, обезвреживании и утилизации производственных и бытовых отходов и т. д.</w:t>
      </w:r>
      <w:r>
        <w:rPr>
          <w:rFonts w:ascii="Arial" w:hAnsi="Arial" w:cs="Arial"/>
          <w:color w:val="1E1D1E"/>
          <w:sz w:val="23"/>
          <w:szCs w:val="23"/>
        </w:rPr>
        <w:br/>
        <w:t>Другим источником экологического права служат Федеральный закон «Об основах охраны здоровья граждан в Российской Федерации» от 21 ноября 2011 года № 323-ФЗ. В нем есть норма, обеспечивающая экологические права граждан. Так, ст. 18 говориться, что: « Каждый имеет право на охрану здоровья. Право на охрану здоровья обеспечивается охраной окружающей среды...»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lastRenderedPageBreak/>
        <w:t xml:space="preserve">Правовые нормы по охране природы и рациональному природопользованию содержатся и в других актах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природоресурсного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законодательства России. К ним относятся Лесной кодекс РФ, Водный кодекс РФ, Федеральный закон «О животном мире» и др.</w:t>
      </w:r>
      <w:r>
        <w:rPr>
          <w:rFonts w:ascii="Arial" w:hAnsi="Arial" w:cs="Arial"/>
          <w:color w:val="1E1D1E"/>
          <w:sz w:val="23"/>
          <w:szCs w:val="23"/>
        </w:rPr>
        <w:br/>
        <w:t>На основании и во исполнение Конституции РФ, федеральных законов, нормативных указов Президента РФ Правительство РФ издает постановления и распоряжения, отвечая также за их исполнение. Постановление Правительства РФ также является нормативно-правовым актом. В соответствии со ст. 114 Конституции РФ Правительство РФ обеспечивает проведение в Российской Федерации единой государственной политики в области науки, культуры, образования, здравоохранения, социального обеспечения, экологии.</w:t>
      </w:r>
      <w:r>
        <w:rPr>
          <w:rFonts w:ascii="Arial" w:hAnsi="Arial" w:cs="Arial"/>
          <w:color w:val="1E1D1E"/>
          <w:sz w:val="23"/>
          <w:szCs w:val="23"/>
        </w:rPr>
        <w:br/>
        <w:t>Природоохранительные министерства и ведомства наделяются правом издавать нормативные акты в рамках своей компетенции. Они предназначены для обязательного исполнения другими министерствами и ведомствами, физическими и юридическими лицами.</w:t>
      </w:r>
      <w:r>
        <w:rPr>
          <w:rFonts w:ascii="Arial" w:hAnsi="Arial" w:cs="Arial"/>
          <w:color w:val="1E1D1E"/>
          <w:sz w:val="23"/>
          <w:szCs w:val="23"/>
        </w:rPr>
        <w:br/>
        <w:t>Немаловажную роль играют нормативные правила - санитарные, строительные, технико-экономические, технологические и т. д. К ним относятся нормативы качества окружающей среды: нормы допустимой радиации, уровня шума, вибрации и т. д. Эти нормативы представляют собой технические правила, и в этом виде они не рассматриваются как источники права. Ведомственные нормативные акты могут быть отменены Правительством РФ, если они противоречат закону. Акты вступают в силу только после регистрации в Министерстве юстиции и публикации в газете «Российские вести».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 xml:space="preserve">Сфера компетенции субъектов Федерации определяется отраслевыми законодательными актами: по землепользованию - Земельным кодексом РФ, по недрам - Законом РФ «О недрах», водопользованию - Водным кодексом РФ, по использованию животного мира - Федеральным законом «О животном мире», по окружающей природной среде - Федеральным законом «Об охране окружающей среды». В основе такого разделения правового регулирования лежит отношение к природным ресурсам. Порядок отнесения природных ресурсов к федеральным или иным регулируется Указом Президента РФ о федеральных ресурсах. Конституция РФ (ст. 76) устанавливает законы и иные нормативные правовые акты субъектов Федерации не должны противоречить Конституции РФ и федеральным законам. В случае наличия противоречия между нормативными актами субъектов Федерации и статьями федеральных законов первые подлежат отмене указом Президента РФ или постановлением Правительства РФ. Помимо специальных нормативно-правовых актов экологического содержания в последние годы широко используется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экологизация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нормативных актов, регулирующих экономическую, хозяйственную и административную деятельность предприятий. Под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экологизацией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понимают внедрение экологических требований в нормативно-правовые акты неэкологического содержания. Необходимость такого процесса объясняется тем, что экологические законы не всегда могут напрямую касаться хозяйствующих субъектов, занятых в различной сфере производства.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Указом Президента РФ от 19.04.2017 №176 утверждена Стратегия экологической безопасности России на период до 2025 года. 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  <w:r>
        <w:rPr>
          <w:rFonts w:ascii="Arial" w:hAnsi="Arial" w:cs="Arial"/>
          <w:color w:val="1E1D1E"/>
          <w:sz w:val="23"/>
          <w:szCs w:val="23"/>
        </w:rPr>
        <w:br/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  <w:r>
        <w:rPr>
          <w:rFonts w:ascii="Arial" w:hAnsi="Arial" w:cs="Arial"/>
          <w:color w:val="1E1D1E"/>
          <w:sz w:val="23"/>
          <w:szCs w:val="23"/>
        </w:rPr>
        <w:br/>
        <w:t>- формирование системы технического регулирования, содержащей требования экологической и промышленной безопасности;</w:t>
      </w:r>
      <w:r>
        <w:rPr>
          <w:rFonts w:ascii="Arial" w:hAnsi="Arial" w:cs="Arial"/>
          <w:color w:val="1E1D1E"/>
          <w:sz w:val="23"/>
          <w:szCs w:val="23"/>
        </w:rPr>
        <w:br/>
      </w:r>
      <w:r>
        <w:rPr>
          <w:rFonts w:ascii="Arial" w:hAnsi="Arial" w:cs="Arial"/>
          <w:color w:val="1E1D1E"/>
          <w:sz w:val="23"/>
          <w:szCs w:val="23"/>
        </w:rPr>
        <w:lastRenderedPageBreak/>
        <w:t>- лицензирование видов деятельности, потенциально опасных для окружающей среды, жизни и здоровья людей;</w:t>
      </w:r>
      <w:r>
        <w:rPr>
          <w:rFonts w:ascii="Arial" w:hAnsi="Arial" w:cs="Arial"/>
          <w:color w:val="1E1D1E"/>
          <w:sz w:val="23"/>
          <w:szCs w:val="23"/>
        </w:rPr>
        <w:br/>
        <w:t>- нормирование и разрешительная деятельность в области охраны окружающей среды;</w:t>
      </w:r>
      <w:r>
        <w:rPr>
          <w:rFonts w:ascii="Arial" w:hAnsi="Arial" w:cs="Arial"/>
          <w:color w:val="1E1D1E"/>
          <w:sz w:val="23"/>
          <w:szCs w:val="23"/>
        </w:rPr>
        <w:br/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proofErr w:type="gramStart"/>
      <w:r>
        <w:rPr>
          <w:rFonts w:ascii="Arial" w:hAnsi="Arial" w:cs="Arial"/>
          <w:color w:val="1E1D1E"/>
          <w:sz w:val="23"/>
          <w:szCs w:val="23"/>
        </w:rPr>
        <w:t>- государственный санитарно-эпидемиологический надзор и социально-гигиенический мониторинг;</w:t>
      </w:r>
      <w:r>
        <w:rPr>
          <w:rFonts w:ascii="Arial" w:hAnsi="Arial" w:cs="Arial"/>
          <w:color w:val="1E1D1E"/>
          <w:sz w:val="23"/>
          <w:szCs w:val="23"/>
        </w:rPr>
        <w:br/>
        <w:t>- создание системы экологического аудита;</w:t>
      </w:r>
      <w:r>
        <w:rPr>
          <w:rFonts w:ascii="Arial" w:hAnsi="Arial" w:cs="Arial"/>
          <w:color w:val="1E1D1E"/>
          <w:sz w:val="23"/>
          <w:szCs w:val="23"/>
        </w:rPr>
        <w:br/>
        <w:t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  <w:proofErr w:type="gramEnd"/>
      <w:r>
        <w:rPr>
          <w:rFonts w:ascii="Arial" w:hAnsi="Arial" w:cs="Arial"/>
          <w:color w:val="1E1D1E"/>
          <w:sz w:val="23"/>
          <w:szCs w:val="23"/>
        </w:rPr>
        <w:br/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  <w:r>
        <w:rPr>
          <w:rFonts w:ascii="Arial" w:hAnsi="Arial" w:cs="Arial"/>
          <w:color w:val="1E1D1E"/>
          <w:sz w:val="23"/>
          <w:szCs w:val="23"/>
        </w:rPr>
        <w:br/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br/>
      </w:r>
      <w:r>
        <w:rPr>
          <w:rFonts w:ascii="Arial" w:hAnsi="Arial" w:cs="Arial"/>
          <w:b/>
          <w:bCs/>
          <w:color w:val="1E1D1E"/>
          <w:sz w:val="23"/>
          <w:szCs w:val="23"/>
        </w:rPr>
        <w:t>В природоохранное законодательство входят: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Федеральный закон от 10 января 2002 г. № 7-ФЗ «Об охране окружающей среды» и другие законодательные акты комплексного правового регулирования.</w:t>
      </w:r>
      <w:r>
        <w:rPr>
          <w:rFonts w:ascii="Arial" w:hAnsi="Arial" w:cs="Arial"/>
          <w:color w:val="1E1D1E"/>
          <w:sz w:val="23"/>
          <w:szCs w:val="23"/>
        </w:rPr>
        <w:br/>
        <w:t xml:space="preserve">В подсистему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природоресурсного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законодательства входят:</w:t>
      </w:r>
      <w:r>
        <w:rPr>
          <w:rFonts w:ascii="Arial" w:hAnsi="Arial" w:cs="Arial"/>
          <w:color w:val="1E1D1E"/>
          <w:sz w:val="23"/>
          <w:szCs w:val="23"/>
        </w:rPr>
        <w:br/>
        <w:t>Земельный кодекс РФ (ФЗ № 136 от 25.10.2001 г.),</w:t>
      </w:r>
      <w:r>
        <w:rPr>
          <w:rFonts w:ascii="Arial" w:hAnsi="Arial" w:cs="Arial"/>
          <w:color w:val="1E1D1E"/>
          <w:sz w:val="23"/>
          <w:szCs w:val="23"/>
        </w:rPr>
        <w:br/>
        <w:t>Закон РФ от 21 февраля 1992 г. № 2395-1 «О недрах»,</w:t>
      </w:r>
      <w:r>
        <w:rPr>
          <w:rFonts w:ascii="Arial" w:hAnsi="Arial" w:cs="Arial"/>
          <w:color w:val="1E1D1E"/>
          <w:sz w:val="23"/>
          <w:szCs w:val="23"/>
        </w:rPr>
        <w:br/>
        <w:t>Лесной кодекс РФ (ФЗ № 200 от 04.12.2006 г.),</w:t>
      </w:r>
      <w:r>
        <w:rPr>
          <w:rFonts w:ascii="Arial" w:hAnsi="Arial" w:cs="Arial"/>
          <w:color w:val="1E1D1E"/>
          <w:sz w:val="23"/>
          <w:szCs w:val="23"/>
        </w:rPr>
        <w:br/>
        <w:t>Водный кодекс Р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Ф(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ФЗ № 74 от 03.06.2006 г.),</w:t>
      </w:r>
      <w:r>
        <w:rPr>
          <w:rFonts w:ascii="Arial" w:hAnsi="Arial" w:cs="Arial"/>
          <w:color w:val="1E1D1E"/>
          <w:sz w:val="23"/>
          <w:szCs w:val="23"/>
        </w:rPr>
        <w:br/>
        <w:t>Федеральный закон от 24 апреля 1995 г. № 52-ФЗ «О животном мире», а также другие законодательные и нормативные акты субъектов РФ.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Информация об экологических сайтах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proofErr w:type="spellStart"/>
      <w:r>
        <w:rPr>
          <w:rFonts w:ascii="Arial" w:hAnsi="Arial" w:cs="Arial"/>
          <w:color w:val="1E1D1E"/>
          <w:sz w:val="23"/>
          <w:szCs w:val="23"/>
        </w:rPr>
        <w:t>Ecocom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- все об экологии</w:t>
      </w:r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4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http://www.ecocommunity.ru/</w:t>
        </w:r>
      </w:hyperlink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FacePla.net - экологический дайджест позитивной информации об экологии и технологии</w:t>
      </w:r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5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http://facepla.net/</w:t>
        </w:r>
      </w:hyperlink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Saveplanet.su - «Сохраним планету»</w:t>
      </w:r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6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http://www.saveplanet.su/</w:t>
        </w:r>
      </w:hyperlink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Всемирный фонд дикой природы (WWF)</w:t>
      </w:r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7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http://wwf.panda.org/</w:t>
        </w:r>
      </w:hyperlink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Гринпис России</w:t>
      </w:r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8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http://www.greenpeace.org/russia/ru</w:t>
        </w:r>
      </w:hyperlink>
      <w:r w:rsidR="003862ED">
        <w:rPr>
          <w:rFonts w:ascii="Arial" w:hAnsi="Arial" w:cs="Arial"/>
          <w:color w:val="1E1D1E"/>
          <w:sz w:val="23"/>
          <w:szCs w:val="23"/>
        </w:rPr>
        <w:t>/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lastRenderedPageBreak/>
        <w:t>Министерство природных ресурсов России</w:t>
      </w:r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9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http://www.mnr.gov.ru/</w:t>
        </w:r>
      </w:hyperlink>
      <w:r w:rsidR="003862ED">
        <w:rPr>
          <w:rFonts w:ascii="Arial" w:hAnsi="Arial" w:cs="Arial"/>
          <w:color w:val="1E1D1E"/>
          <w:sz w:val="23"/>
          <w:szCs w:val="23"/>
        </w:rPr>
        <w:t> </w:t>
      </w:r>
      <w:r w:rsidR="003862ED">
        <w:rPr>
          <w:rFonts w:ascii="Arial" w:hAnsi="Arial" w:cs="Arial"/>
          <w:color w:val="1E1D1E"/>
          <w:sz w:val="23"/>
          <w:szCs w:val="23"/>
        </w:rPr>
        <w:br/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Уважаемые жители! Берегите природу и ее экологическое состояние</w:t>
      </w:r>
      <w:proofErr w:type="gramStart"/>
      <w:r>
        <w:rPr>
          <w:rFonts w:ascii="Arial" w:hAnsi="Arial" w:cs="Arial"/>
          <w:color w:val="1E1D1E"/>
          <w:sz w:val="23"/>
          <w:szCs w:val="23"/>
        </w:rPr>
        <w:t xml:space="preserve"> !</w:t>
      </w:r>
      <w:proofErr w:type="gramEnd"/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b/>
          <w:bCs/>
          <w:color w:val="1E1D1E"/>
          <w:sz w:val="23"/>
          <w:szCs w:val="23"/>
        </w:rPr>
        <w:t>ЗАКОНОДАТЕЛЬНЫЕ АКТЫ РОССИЙСКОЙ ФЕДЕРАЦИИ</w:t>
      </w:r>
      <w:r>
        <w:rPr>
          <w:rFonts w:ascii="Arial" w:hAnsi="Arial" w:cs="Arial"/>
          <w:color w:val="1E1D1E"/>
          <w:sz w:val="23"/>
          <w:szCs w:val="23"/>
        </w:rPr>
        <w:t> </w:t>
      </w:r>
    </w:p>
    <w:p w:rsidR="003862ED" w:rsidRDefault="003862ED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в сфере охраны окружающей среды                                                                                                     </w:t>
      </w:r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0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</w:rPr>
          <w:t>Об охране окружающей среды Федеральный закон от 10 января 2002 г. № 7-ФЗ</w:t>
        </w:r>
      </w:hyperlink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1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Об охране атмосферного воздуха Федеральный закон от 04 мая 1999г. № 96-ФЗ</w:t>
        </w:r>
      </w:hyperlink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2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Земельный кодекс Российской Федерации Федеральный закон от 25 октября 2001 г. № 136-ФЗ</w:t>
        </w:r>
      </w:hyperlink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3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Водный кодекс Российской Федерации Федеральный закон от 03 июня 2006 г. № 74-ФЗ</w:t>
        </w:r>
      </w:hyperlink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4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О недрах (в редакции Федерального закона от 3 марта 1995 г № 27- ФЗ) Закон Российской Федерации от 21 февраля 1992 г. № 2395-1</w:t>
        </w:r>
      </w:hyperlink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5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Об отходах производства и потребления Федеральный закон от 24 июня 1998 г. № 89-ФЗ</w:t>
        </w:r>
      </w:hyperlink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6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Об экологической экспертизе Федеральный закон от 23 ноября 1995 г. № 174-ФЗ</w:t>
        </w:r>
      </w:hyperlink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7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О санитарно-эпидемиологическом благополучии населения Федеральный закон от 30 марта 1999 № 52-ФЗ</w:t>
        </w:r>
      </w:hyperlink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8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Об особо охраняемых природных территориях Федеральный закон от 14 марта 1995 г. № 33-ФЗ</w:t>
        </w:r>
      </w:hyperlink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19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Лесной кодекс Российской Федерации Федеральный закон от 04 декабря 2006 г. № 200-ФЗ</w:t>
        </w:r>
      </w:hyperlink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20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Экологическое просвещение</w:t>
        </w:r>
      </w:hyperlink>
    </w:p>
    <w:p w:rsidR="003862ED" w:rsidRDefault="002A68F8" w:rsidP="003862ED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hyperlink r:id="rId21" w:history="1">
        <w:r w:rsidR="003862ED">
          <w:rPr>
            <w:rStyle w:val="a5"/>
            <w:rFonts w:ascii="Arial" w:hAnsi="Arial" w:cs="Arial"/>
            <w:color w:val="2082C7"/>
            <w:sz w:val="23"/>
            <w:szCs w:val="23"/>
            <w:u w:val="none"/>
          </w:rPr>
          <w:t>Информация о состоянии окружающей среды и об использовании природных ресурсов</w:t>
        </w:r>
      </w:hyperlink>
    </w:p>
    <w:p w:rsidR="0053750E" w:rsidRPr="00A7653A" w:rsidRDefault="0053750E" w:rsidP="001C5CA3">
      <w:pPr>
        <w:pStyle w:val="a3"/>
        <w:shd w:val="clear" w:color="auto" w:fill="FFFFFF"/>
        <w:spacing w:before="0" w:beforeAutospacing="0" w:after="180" w:afterAutospacing="0"/>
        <w:rPr>
          <w:lang w:val="en-US"/>
        </w:rPr>
      </w:pPr>
    </w:p>
    <w:sectPr w:rsidR="0053750E" w:rsidRPr="00A7653A" w:rsidSect="002C0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862ED"/>
    <w:rsid w:val="001C5CA3"/>
    <w:rsid w:val="00214647"/>
    <w:rsid w:val="002A68F8"/>
    <w:rsid w:val="002C04A3"/>
    <w:rsid w:val="003862ED"/>
    <w:rsid w:val="0053750E"/>
    <w:rsid w:val="006C029E"/>
    <w:rsid w:val="0095235A"/>
    <w:rsid w:val="00A7653A"/>
    <w:rsid w:val="00D6080A"/>
    <w:rsid w:val="00F12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2ED"/>
    <w:rPr>
      <w:b/>
      <w:bCs/>
    </w:rPr>
  </w:style>
  <w:style w:type="character" w:styleId="a5">
    <w:name w:val="Hyperlink"/>
    <w:basedOn w:val="a0"/>
    <w:uiPriority w:val="99"/>
    <w:semiHidden/>
    <w:unhideWhenUsed/>
    <w:rsid w:val="003862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2ED"/>
    <w:rPr>
      <w:b/>
      <w:bCs/>
    </w:rPr>
  </w:style>
  <w:style w:type="character" w:styleId="a5">
    <w:name w:val="Hyperlink"/>
    <w:basedOn w:val="a0"/>
    <w:uiPriority w:val="99"/>
    <w:semiHidden/>
    <w:unhideWhenUsed/>
    <w:rsid w:val="003862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8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enpeace.org/russia/ru" TargetMode="External"/><Relationship Id="rId13" Type="http://schemas.openxmlformats.org/officeDocument/2006/relationships/hyperlink" Target="http://adm-nbalkaria.ru/images/vod_kod_03.06.2006__74.docx" TargetMode="External"/><Relationship Id="rId18" Type="http://schemas.openxmlformats.org/officeDocument/2006/relationships/hyperlink" Target="http://adm-nbalkaria.ru/images/ohr_ter_14.03.1995_33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dm-nbalkaria.ru/images/ok.sreda_.docx" TargetMode="External"/><Relationship Id="rId7" Type="http://schemas.openxmlformats.org/officeDocument/2006/relationships/hyperlink" Target="http://wwf.panda.org/" TargetMode="External"/><Relationship Id="rId12" Type="http://schemas.openxmlformats.org/officeDocument/2006/relationships/hyperlink" Target="http://adm-nbalkaria.ru/images/zem_kod_25.10.2001__136.docx" TargetMode="External"/><Relationship Id="rId17" Type="http://schemas.openxmlformats.org/officeDocument/2006/relationships/hyperlink" Target="http://adm-nbalkaria.ru/images/o_san_bl_nas_30.03.1999__52.docx" TargetMode="External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://adm-nbalkaria.ru/images/%D0%9Eob_ekol_eksp_23.11.1995__174.docx" TargetMode="External"/><Relationship Id="rId20" Type="http://schemas.openxmlformats.org/officeDocument/2006/relationships/hyperlink" Target="http://adm-nbalkaria.ru/images/ekol_pros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aveplanet.su/" TargetMode="External"/><Relationship Id="rId11" Type="http://schemas.openxmlformats.org/officeDocument/2006/relationships/hyperlink" Target="http://adm-nbalkaria.ru/images/ohrana_atmosfernogo_voz_04.05._1999__96.docx" TargetMode="External"/><Relationship Id="rId5" Type="http://schemas.openxmlformats.org/officeDocument/2006/relationships/hyperlink" Target="http://facepla.net/" TargetMode="External"/><Relationship Id="rId15" Type="http://schemas.openxmlformats.org/officeDocument/2006/relationships/hyperlink" Target="http://adm-nbalkaria.ru/images/ob_othodah_proiz_24.06.1998__89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dm-nbalkaria.ru/images/ob_ohrane_ok_sredy_10.01.2002__7.docx" TargetMode="External"/><Relationship Id="rId19" Type="http://schemas.openxmlformats.org/officeDocument/2006/relationships/hyperlink" Target="http://adm-nbalkaria.ru/images/lesnoi_kodeks_04.12.2006_N_200.rtf" TargetMode="External"/><Relationship Id="rId4" Type="http://schemas.openxmlformats.org/officeDocument/2006/relationships/hyperlink" Target="http://www.ecocommunity.ru/" TargetMode="External"/><Relationship Id="rId9" Type="http://schemas.openxmlformats.org/officeDocument/2006/relationships/hyperlink" Target="http://www.mnr.gov.ru/" TargetMode="External"/><Relationship Id="rId14" Type="http://schemas.openxmlformats.org/officeDocument/2006/relationships/hyperlink" Target="http://adm-nbalkaria.ru/images/O_nedrah_3.03.1995_%D0%B3__27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4516</Words>
  <Characters>25742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Krasnoarm</dc:creator>
  <cp:lastModifiedBy>Пользователь Windows</cp:lastModifiedBy>
  <cp:revision>8</cp:revision>
  <dcterms:created xsi:type="dcterms:W3CDTF">2025-01-31T08:20:00Z</dcterms:created>
  <dcterms:modified xsi:type="dcterms:W3CDTF">2025-05-06T08:23:00Z</dcterms:modified>
</cp:coreProperties>
</file>